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950" w:rsidRDefault="00147950" w:rsidP="00544CE1">
      <w:pPr>
        <w:pStyle w:val="NoSpacing"/>
        <w:jc w:val="right"/>
        <w:rPr>
          <w:rFonts w:ascii="Bookman Old Style" w:hAnsi="Bookman Old Style" w:cs="Bookman Old Style"/>
          <w:b/>
          <w:bCs/>
          <w:u w:val="single"/>
        </w:rPr>
      </w:pPr>
    </w:p>
    <w:p w:rsidR="00147950" w:rsidRDefault="00147950" w:rsidP="00544CE1">
      <w:pPr>
        <w:pStyle w:val="NoSpacing"/>
        <w:jc w:val="right"/>
        <w:rPr>
          <w:rFonts w:ascii="Bookman Old Style" w:hAnsi="Bookman Old Style" w:cs="Bookman Old Style"/>
          <w:b/>
          <w:bCs/>
          <w:u w:val="single"/>
        </w:rPr>
      </w:pPr>
      <w:r>
        <w:rPr>
          <w:rFonts w:ascii="Bookman Old Style" w:hAnsi="Bookman Old Style" w:cs="Bookman Old Style"/>
          <w:b/>
          <w:bCs/>
          <w:u w:val="single"/>
        </w:rPr>
        <w:t>STAFF GRIEVANCE CELL</w:t>
      </w:r>
    </w:p>
    <w:p w:rsidR="00147950" w:rsidRDefault="00147950" w:rsidP="00544CE1">
      <w:pPr>
        <w:pStyle w:val="NoSpacing"/>
        <w:jc w:val="center"/>
      </w:pPr>
      <w:r w:rsidRPr="0006173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myhr.bsnl.co.in/portal/images/rep_logo.gif" style="width:51.75pt;height:48.75pt;visibility:visible">
            <v:imagedata r:id="rId5" o:title=""/>
          </v:shape>
        </w:pict>
      </w:r>
    </w:p>
    <w:p w:rsidR="00147950" w:rsidRDefault="00147950" w:rsidP="00544CE1">
      <w:pPr>
        <w:spacing w:after="0"/>
        <w:jc w:val="center"/>
        <w:rPr>
          <w:rFonts w:ascii="Bookman Old Style" w:hAnsi="Bookman Old Style" w:cs="Bookman Old Style"/>
          <w:b/>
          <w:bCs/>
        </w:rPr>
      </w:pPr>
      <w:r>
        <w:rPr>
          <w:rFonts w:ascii="Bookman Old Style" w:hAnsi="Bookman Old Style" w:cs="Bookman Old Style"/>
          <w:b/>
          <w:bCs/>
        </w:rPr>
        <w:t xml:space="preserve">BHARAT SANCHAR NIGAM LIMITED                               </w:t>
      </w:r>
    </w:p>
    <w:p w:rsidR="00147950" w:rsidRDefault="00147950" w:rsidP="00544CE1">
      <w:pPr>
        <w:spacing w:after="0"/>
        <w:jc w:val="center"/>
        <w:rPr>
          <w:rFonts w:ascii="Bookman Old Style" w:hAnsi="Bookman Old Style" w:cs="Bookman Old Style"/>
          <w:b/>
          <w:bCs/>
        </w:rPr>
      </w:pPr>
      <w:r>
        <w:rPr>
          <w:rFonts w:ascii="Bookman Old Style" w:hAnsi="Bookman Old Style" w:cs="Bookman Old Style"/>
          <w:b/>
          <w:bCs/>
        </w:rPr>
        <w:t>(A Govt. of India Enterprise)</w:t>
      </w:r>
    </w:p>
    <w:p w:rsidR="00147950" w:rsidRDefault="00147950" w:rsidP="00544CE1">
      <w:pPr>
        <w:spacing w:after="0" w:line="240" w:lineRule="auto"/>
        <w:jc w:val="center"/>
        <w:rPr>
          <w:rFonts w:ascii="Bookman Old Style" w:hAnsi="Bookman Old Style" w:cs="Bookman Old Style"/>
          <w:b/>
          <w:bCs/>
        </w:rPr>
      </w:pPr>
    </w:p>
    <w:p w:rsidR="00147950" w:rsidRDefault="00147950" w:rsidP="00544CE1">
      <w:pPr>
        <w:spacing w:after="0"/>
        <w:rPr>
          <w:rFonts w:ascii="Bookman Old Style" w:hAnsi="Bookman Old Style" w:cs="Bookman Old Style"/>
          <w:b/>
          <w:bCs/>
        </w:rPr>
      </w:pPr>
      <w:r>
        <w:rPr>
          <w:rFonts w:ascii="Bookman Old Style" w:hAnsi="Bookman Old Style" w:cs="Bookman Old Style"/>
          <w:b/>
          <w:bCs/>
        </w:rPr>
        <w:t>From                                                            To</w:t>
      </w:r>
    </w:p>
    <w:p w:rsidR="00147950" w:rsidRDefault="00147950" w:rsidP="00544CE1">
      <w:pPr>
        <w:spacing w:after="0"/>
        <w:rPr>
          <w:rFonts w:ascii="Bookman Old Style" w:hAnsi="Bookman Old Style" w:cs="Bookman Old Style"/>
          <w:b/>
          <w:bCs/>
        </w:rPr>
      </w:pPr>
      <w:r>
        <w:rPr>
          <w:rFonts w:ascii="Bookman Old Style" w:hAnsi="Bookman Old Style" w:cs="Bookman Old Style"/>
          <w:b/>
          <w:bCs/>
        </w:rPr>
        <w:t>The Chief General Manager,                          All Heads of SSAs, BSNL</w:t>
      </w:r>
    </w:p>
    <w:p w:rsidR="00147950" w:rsidRDefault="00147950" w:rsidP="00544CE1">
      <w:pPr>
        <w:spacing w:after="0"/>
        <w:rPr>
          <w:rFonts w:ascii="Bookman Old Style" w:hAnsi="Bookman Old Style" w:cs="Bookman Old Style"/>
          <w:b/>
          <w:bCs/>
        </w:rPr>
      </w:pPr>
      <w:r>
        <w:rPr>
          <w:rFonts w:ascii="Bookman Old Style" w:hAnsi="Bookman Old Style" w:cs="Bookman Old Style"/>
          <w:b/>
          <w:bCs/>
        </w:rPr>
        <w:t>Bharat Sanchar Nigam Limited,                    PCE Civil/Elec/Arch. BSNL</w:t>
      </w:r>
    </w:p>
    <w:p w:rsidR="00147950" w:rsidRDefault="00147950" w:rsidP="00544CE1">
      <w:pPr>
        <w:spacing w:after="0"/>
        <w:rPr>
          <w:rFonts w:ascii="Bookman Old Style" w:hAnsi="Bookman Old Style" w:cs="Bookman Old Style"/>
          <w:b/>
          <w:bCs/>
        </w:rPr>
      </w:pPr>
      <w:r>
        <w:rPr>
          <w:rFonts w:ascii="Bookman Old Style" w:hAnsi="Bookman Old Style" w:cs="Bookman Old Style"/>
          <w:b/>
          <w:bCs/>
        </w:rPr>
        <w:t xml:space="preserve">Tamilnadu Telecom Circle                            The GM NW-Ops Trichy.   </w:t>
      </w:r>
    </w:p>
    <w:p w:rsidR="00147950" w:rsidRDefault="00147950" w:rsidP="00544CE1">
      <w:pPr>
        <w:spacing w:after="0" w:line="240" w:lineRule="auto"/>
        <w:rPr>
          <w:rFonts w:ascii="Bookman Old Style" w:hAnsi="Bookman Old Style" w:cs="Bookman Old Style"/>
          <w:b/>
          <w:bCs/>
        </w:rPr>
      </w:pPr>
      <w:r>
        <w:rPr>
          <w:rFonts w:ascii="Bookman Old Style" w:hAnsi="Bookman Old Style" w:cs="Bookman Old Style"/>
          <w:b/>
          <w:bCs/>
        </w:rPr>
        <w:t xml:space="preserve">Chennai 600 202.                                             </w:t>
      </w:r>
    </w:p>
    <w:p w:rsidR="00147950" w:rsidRDefault="00147950" w:rsidP="00544CE1">
      <w:pPr>
        <w:spacing w:after="0" w:line="240" w:lineRule="auto"/>
        <w:rPr>
          <w:rFonts w:ascii="Bookman Old Style" w:hAnsi="Bookman Old Style" w:cs="Bookman Old Style"/>
        </w:rPr>
      </w:pPr>
      <w:r>
        <w:rPr>
          <w:rFonts w:ascii="Bookman Old Style" w:hAnsi="Bookman Old Style" w:cs="Bookman Old Style"/>
          <w:b/>
          <w:bCs/>
        </w:rPr>
        <w:t xml:space="preserve">                                                                       </w:t>
      </w:r>
      <w:r>
        <w:rPr>
          <w:rFonts w:ascii="Bookman Old Style" w:hAnsi="Bookman Old Style" w:cs="Bookman Old Style"/>
        </w:rPr>
        <w:t xml:space="preserve">                                                                         </w:t>
      </w:r>
    </w:p>
    <w:p w:rsidR="00147950" w:rsidRDefault="00147950" w:rsidP="00544CE1">
      <w:pPr>
        <w:spacing w:after="0"/>
        <w:rPr>
          <w:rFonts w:ascii="Bookman Old Style" w:hAnsi="Bookman Old Style" w:cs="Bookman Old Style"/>
          <w:b/>
          <w:bCs/>
          <w:u w:val="single"/>
        </w:rPr>
      </w:pPr>
      <w:r>
        <w:rPr>
          <w:rFonts w:ascii="Bookman Old Style" w:hAnsi="Bookman Old Style" w:cs="Bookman Old Style"/>
          <w:b/>
          <w:bCs/>
          <w:u w:val="single"/>
        </w:rPr>
        <w:t>SGC/1-3/2010/33        dated at Chennai -2,    the      16/07/2012.</w:t>
      </w:r>
    </w:p>
    <w:p w:rsidR="00147950" w:rsidRDefault="00147950" w:rsidP="00544CE1">
      <w:pPr>
        <w:tabs>
          <w:tab w:val="left" w:pos="1836"/>
        </w:tabs>
        <w:spacing w:after="0" w:line="240" w:lineRule="auto"/>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r>
    </w:p>
    <w:p w:rsidR="00147950" w:rsidRDefault="00147950" w:rsidP="00544CE1">
      <w:pPr>
        <w:spacing w:after="0"/>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b/>
          <w:bCs/>
        </w:rPr>
        <w:t>Sub:</w:t>
      </w:r>
      <w:r>
        <w:rPr>
          <w:rFonts w:ascii="Bookman Old Style" w:hAnsi="Bookman Old Style" w:cs="Bookman Old Style"/>
        </w:rPr>
        <w:t xml:space="preserve">   Staff Grievance Matters - guidelines /instructions- reg</w:t>
      </w:r>
    </w:p>
    <w:p w:rsidR="00147950" w:rsidRDefault="00147950" w:rsidP="00544CE1">
      <w:pPr>
        <w:spacing w:after="0"/>
        <w:rPr>
          <w:rFonts w:ascii="Bookman Old Style" w:hAnsi="Bookman Old Style" w:cs="Bookman Old Style"/>
        </w:rPr>
      </w:pPr>
      <w:r>
        <w:rPr>
          <w:rFonts w:ascii="Bookman Old Style" w:hAnsi="Bookman Old Style" w:cs="Bookman Old Style"/>
          <w:b/>
          <w:bCs/>
        </w:rPr>
        <w:t xml:space="preserve">                   Ref:   </w:t>
      </w:r>
      <w:r>
        <w:rPr>
          <w:rFonts w:ascii="Bookman Old Style" w:hAnsi="Bookman Old Style" w:cs="Bookman Old Style"/>
        </w:rPr>
        <w:t xml:space="preserve">BSNL HQrs. ND. letter No. 1-2/2004-SG Dt. 19/10/2004 </w:t>
      </w:r>
    </w:p>
    <w:p w:rsidR="00147950" w:rsidRDefault="00147950" w:rsidP="00544CE1">
      <w:pPr>
        <w:spacing w:after="0"/>
        <w:rPr>
          <w:rFonts w:ascii="Bookman Old Style" w:hAnsi="Bookman Old Style" w:cs="Bookman Old Style"/>
        </w:rPr>
      </w:pPr>
      <w:r>
        <w:rPr>
          <w:rFonts w:ascii="Bookman Old Style" w:hAnsi="Bookman Old Style" w:cs="Bookman Old Style"/>
        </w:rPr>
        <w:t xml:space="preserve">                              Circulated vide TSA/10-12/SGO/2004 Dt. 22/11/2004 </w:t>
      </w:r>
    </w:p>
    <w:p w:rsidR="00147950" w:rsidRDefault="00147950" w:rsidP="00544CE1">
      <w:pPr>
        <w:spacing w:after="0"/>
        <w:rPr>
          <w:rFonts w:ascii="Bookman Old Style" w:hAnsi="Bookman Old Style" w:cs="Bookman Old Style"/>
        </w:rPr>
      </w:pPr>
      <w:r>
        <w:rPr>
          <w:rFonts w:ascii="Bookman Old Style" w:hAnsi="Bookman Old Style" w:cs="Bookman Old Style"/>
        </w:rPr>
        <w:t xml:space="preserve">                              This office Lr. of even No. Dt.  22/03/2011                                                      </w:t>
      </w:r>
    </w:p>
    <w:p w:rsidR="00147950" w:rsidRDefault="00147950" w:rsidP="00544CE1">
      <w:pPr>
        <w:spacing w:after="0" w:line="240" w:lineRule="auto"/>
        <w:jc w:val="center"/>
        <w:rPr>
          <w:rFonts w:ascii="Bookman Old Style" w:hAnsi="Bookman Old Style" w:cs="Bookman Old Style"/>
        </w:rPr>
      </w:pPr>
      <w:r>
        <w:rPr>
          <w:rFonts w:ascii="Bookman Old Style" w:hAnsi="Bookman Old Style" w:cs="Bookman Old Style"/>
        </w:rPr>
        <w:t xml:space="preserve">---------------   </w:t>
      </w:r>
    </w:p>
    <w:p w:rsidR="00147950" w:rsidRDefault="00147950" w:rsidP="00544CE1">
      <w:pPr>
        <w:spacing w:after="0" w:line="240" w:lineRule="auto"/>
        <w:rPr>
          <w:rFonts w:ascii="Bookman Old Style" w:hAnsi="Bookman Old Style" w:cs="Bookman Old Style"/>
        </w:rPr>
      </w:pPr>
    </w:p>
    <w:p w:rsidR="00147950" w:rsidRDefault="00147950" w:rsidP="00544CE1">
      <w:pPr>
        <w:spacing w:after="0"/>
        <w:jc w:val="both"/>
        <w:rPr>
          <w:rFonts w:ascii="Bookman Old Style" w:hAnsi="Bookman Old Style" w:cs="Bookman Old Style"/>
        </w:rPr>
      </w:pPr>
      <w:r>
        <w:rPr>
          <w:rFonts w:ascii="Bookman Old Style" w:hAnsi="Bookman Old Style" w:cs="Bookman Old Style"/>
        </w:rPr>
        <w:t xml:space="preserve">                               Kindly refer to the letters cited above regarding setting up of SG Cell at Circle/ SSA/ Units level with specific instructions/ guidelines to streamline the redressal of staff grievances system of individual employee.</w:t>
      </w:r>
    </w:p>
    <w:p w:rsidR="00147950" w:rsidRDefault="00147950" w:rsidP="00544CE1">
      <w:pPr>
        <w:spacing w:after="0" w:line="240" w:lineRule="auto"/>
        <w:jc w:val="both"/>
        <w:rPr>
          <w:rFonts w:ascii="Bookman Old Style" w:hAnsi="Bookman Old Style" w:cs="Bookman Old Style"/>
        </w:rPr>
      </w:pPr>
    </w:p>
    <w:p w:rsidR="00147950" w:rsidRDefault="00147950" w:rsidP="00544CE1">
      <w:pPr>
        <w:spacing w:after="0"/>
        <w:jc w:val="both"/>
        <w:rPr>
          <w:rFonts w:ascii="Bookman Old Style" w:hAnsi="Bookman Old Style" w:cs="Bookman Old Style"/>
        </w:rPr>
      </w:pPr>
      <w:r>
        <w:rPr>
          <w:rFonts w:ascii="Bookman Old Style" w:hAnsi="Bookman Old Style" w:cs="Bookman Old Style"/>
        </w:rPr>
        <w:t xml:space="preserve">                               Of late, it is noticed that many of the Staff Grievance representations are received directly without exhausting the local channels of representations from the SSAs/ Units and without specific comments of the authorities concerned on the represented issue which causes much delay in settling the cases.  Hence, it is hereby requested to follow the procedures mentioned below to enable expeditious disposal/ speedy resolutions of the grievance cases.</w:t>
      </w:r>
    </w:p>
    <w:p w:rsidR="00147950" w:rsidRDefault="00147950" w:rsidP="00544CE1">
      <w:pPr>
        <w:tabs>
          <w:tab w:val="left" w:pos="1453"/>
        </w:tabs>
        <w:spacing w:after="0" w:line="240" w:lineRule="auto"/>
        <w:jc w:val="both"/>
        <w:rPr>
          <w:rFonts w:ascii="Bookman Old Style" w:hAnsi="Bookman Old Style" w:cs="Bookman Old Style"/>
        </w:rPr>
      </w:pPr>
      <w:r>
        <w:rPr>
          <w:rFonts w:ascii="Bookman Old Style" w:hAnsi="Bookman Old Style" w:cs="Bookman Old Style"/>
        </w:rPr>
        <w:tab/>
      </w:r>
    </w:p>
    <w:p w:rsidR="00147950" w:rsidRDefault="00147950" w:rsidP="00544CE1">
      <w:pPr>
        <w:pStyle w:val="ListParagraph"/>
        <w:numPr>
          <w:ilvl w:val="0"/>
          <w:numId w:val="1"/>
        </w:numPr>
        <w:spacing w:after="0"/>
        <w:jc w:val="both"/>
        <w:rPr>
          <w:rFonts w:ascii="Bookman Old Style" w:hAnsi="Bookman Old Style" w:cs="Bookman Old Style"/>
        </w:rPr>
      </w:pPr>
      <w:r>
        <w:rPr>
          <w:rFonts w:ascii="Bookman Old Style" w:hAnsi="Bookman Old Style" w:cs="Bookman Old Style"/>
        </w:rPr>
        <w:t>All the SG representations should be represented through the Staff Grievance Officers of the SSA/ Units concerned only.</w:t>
      </w:r>
    </w:p>
    <w:p w:rsidR="00147950" w:rsidRDefault="00147950" w:rsidP="00544CE1">
      <w:pPr>
        <w:pStyle w:val="ListParagraph"/>
        <w:numPr>
          <w:ilvl w:val="0"/>
          <w:numId w:val="1"/>
        </w:numPr>
        <w:spacing w:after="0"/>
        <w:jc w:val="both"/>
        <w:rPr>
          <w:rFonts w:ascii="Bookman Old Style" w:hAnsi="Bookman Old Style" w:cs="Bookman Old Style"/>
        </w:rPr>
      </w:pPr>
      <w:r>
        <w:rPr>
          <w:rFonts w:ascii="Bookman Old Style" w:hAnsi="Bookman Old Style" w:cs="Bookman Old Style"/>
        </w:rPr>
        <w:t>Before projecting a case as a ‘Staff Grievance’ case, it should be ensured that whether the same had been exhausted in all routine channels of representations.</w:t>
      </w:r>
    </w:p>
    <w:p w:rsidR="00147950" w:rsidRDefault="00147950" w:rsidP="00544CE1">
      <w:pPr>
        <w:pStyle w:val="ListParagraph"/>
        <w:numPr>
          <w:ilvl w:val="0"/>
          <w:numId w:val="1"/>
        </w:numPr>
        <w:spacing w:after="0"/>
        <w:jc w:val="both"/>
        <w:rPr>
          <w:rFonts w:ascii="Bookman Old Style" w:hAnsi="Bookman Old Style" w:cs="Bookman Old Style"/>
        </w:rPr>
      </w:pPr>
      <w:r>
        <w:rPr>
          <w:rFonts w:ascii="Bookman Old Style" w:hAnsi="Bookman Old Style" w:cs="Bookman Old Style"/>
        </w:rPr>
        <w:t>The SGOs of the SSAs/ Units has to sort out the representations, whether the  SG cases involves local decision by the Head of the SSA / Unit  or require intervention by the Head of the Circle.</w:t>
      </w:r>
    </w:p>
    <w:p w:rsidR="00147950" w:rsidRDefault="00147950" w:rsidP="00544CE1">
      <w:pPr>
        <w:pStyle w:val="ListParagraph"/>
        <w:spacing w:after="0" w:line="240" w:lineRule="auto"/>
        <w:ind w:left="1080"/>
        <w:jc w:val="center"/>
        <w:rPr>
          <w:rFonts w:ascii="Bookman Old Style" w:hAnsi="Bookman Old Style" w:cs="Bookman Old Style"/>
        </w:rPr>
      </w:pPr>
    </w:p>
    <w:p w:rsidR="00147950" w:rsidRDefault="00147950" w:rsidP="00544CE1">
      <w:pPr>
        <w:pStyle w:val="ListParagraph"/>
        <w:spacing w:after="0" w:line="240" w:lineRule="auto"/>
        <w:ind w:left="1080"/>
        <w:jc w:val="center"/>
        <w:rPr>
          <w:rFonts w:ascii="Bookman Old Style" w:hAnsi="Bookman Old Style" w:cs="Bookman Old Style"/>
        </w:rPr>
      </w:pPr>
    </w:p>
    <w:p w:rsidR="00147950" w:rsidRDefault="00147950" w:rsidP="00544CE1">
      <w:pPr>
        <w:pStyle w:val="ListParagraph"/>
        <w:spacing w:after="0" w:line="240" w:lineRule="auto"/>
        <w:ind w:left="1080"/>
        <w:jc w:val="right"/>
        <w:rPr>
          <w:rFonts w:ascii="Bookman Old Style" w:hAnsi="Bookman Old Style" w:cs="Bookman Old Style"/>
        </w:rPr>
      </w:pPr>
      <w:r>
        <w:rPr>
          <w:rFonts w:ascii="Bookman Old Style" w:hAnsi="Bookman Old Style" w:cs="Bookman Old Style"/>
        </w:rPr>
        <w:t>Contd……..2</w:t>
      </w:r>
    </w:p>
    <w:p w:rsidR="00147950" w:rsidRDefault="00147950" w:rsidP="00544CE1">
      <w:pPr>
        <w:pStyle w:val="ListParagraph"/>
        <w:spacing w:after="0"/>
        <w:ind w:left="1080"/>
        <w:jc w:val="right"/>
        <w:rPr>
          <w:rFonts w:ascii="Bookman Old Style" w:hAnsi="Bookman Old Style" w:cs="Bookman Old Style"/>
        </w:rPr>
      </w:pPr>
    </w:p>
    <w:p w:rsidR="00147950" w:rsidRDefault="00147950" w:rsidP="00544CE1">
      <w:pPr>
        <w:spacing w:after="0"/>
        <w:jc w:val="both"/>
        <w:rPr>
          <w:rFonts w:ascii="Bookman Old Style" w:hAnsi="Bookman Old Style" w:cs="Bookman Old Style"/>
        </w:rPr>
      </w:pPr>
    </w:p>
    <w:p w:rsidR="00147950" w:rsidRDefault="00147950" w:rsidP="00544CE1">
      <w:pPr>
        <w:spacing w:after="0"/>
        <w:jc w:val="both"/>
        <w:rPr>
          <w:rFonts w:ascii="Bookman Old Style" w:hAnsi="Bookman Old Style" w:cs="Bookman Old Style"/>
        </w:rPr>
      </w:pPr>
    </w:p>
    <w:p w:rsidR="00147950" w:rsidRDefault="00147950" w:rsidP="00544CE1">
      <w:pPr>
        <w:spacing w:after="0"/>
        <w:jc w:val="both"/>
        <w:rPr>
          <w:rFonts w:ascii="Bookman Old Style" w:hAnsi="Bookman Old Style" w:cs="Bookman Old Style"/>
        </w:rPr>
      </w:pPr>
    </w:p>
    <w:p w:rsidR="00147950" w:rsidRDefault="00147950" w:rsidP="00544CE1">
      <w:pPr>
        <w:spacing w:after="0"/>
        <w:jc w:val="both"/>
        <w:rPr>
          <w:rFonts w:ascii="Bookman Old Style" w:hAnsi="Bookman Old Style" w:cs="Bookman Old Style"/>
        </w:rPr>
      </w:pPr>
    </w:p>
    <w:p w:rsidR="00147950" w:rsidRDefault="00147950" w:rsidP="00544CE1">
      <w:pPr>
        <w:spacing w:after="0"/>
        <w:jc w:val="both"/>
        <w:rPr>
          <w:rFonts w:ascii="Bookman Old Style" w:hAnsi="Bookman Old Style" w:cs="Bookman Old Style"/>
        </w:rPr>
      </w:pPr>
    </w:p>
    <w:p w:rsidR="00147950" w:rsidRDefault="00147950" w:rsidP="00544CE1">
      <w:pPr>
        <w:pStyle w:val="ListParagraph"/>
        <w:spacing w:after="0" w:line="240" w:lineRule="auto"/>
        <w:ind w:left="1080"/>
        <w:jc w:val="center"/>
        <w:rPr>
          <w:rFonts w:ascii="Bookman Old Style" w:hAnsi="Bookman Old Style" w:cs="Bookman Old Style"/>
        </w:rPr>
      </w:pPr>
      <w:r>
        <w:rPr>
          <w:rFonts w:ascii="Bookman Old Style" w:hAnsi="Bookman Old Style" w:cs="Bookman Old Style"/>
        </w:rPr>
        <w:t>-2-</w:t>
      </w:r>
    </w:p>
    <w:p w:rsidR="00147950" w:rsidRDefault="00147950" w:rsidP="00544CE1">
      <w:pPr>
        <w:spacing w:after="0"/>
        <w:jc w:val="both"/>
        <w:rPr>
          <w:rFonts w:ascii="Bookman Old Style" w:hAnsi="Bookman Old Style" w:cs="Bookman Old Style"/>
        </w:rPr>
      </w:pPr>
    </w:p>
    <w:p w:rsidR="00147950" w:rsidRDefault="00147950" w:rsidP="00544CE1">
      <w:pPr>
        <w:spacing w:after="0"/>
        <w:jc w:val="both"/>
        <w:rPr>
          <w:rFonts w:ascii="Bookman Old Style" w:hAnsi="Bookman Old Style" w:cs="Bookman Old Style"/>
        </w:rPr>
      </w:pPr>
    </w:p>
    <w:p w:rsidR="00147950" w:rsidRDefault="00147950" w:rsidP="00544CE1">
      <w:pPr>
        <w:pStyle w:val="ListParagraph"/>
        <w:numPr>
          <w:ilvl w:val="0"/>
          <w:numId w:val="1"/>
        </w:numPr>
        <w:spacing w:after="0"/>
        <w:jc w:val="both"/>
        <w:rPr>
          <w:rFonts w:ascii="Bookman Old Style" w:hAnsi="Bookman Old Style" w:cs="Bookman Old Style"/>
        </w:rPr>
      </w:pPr>
      <w:r>
        <w:rPr>
          <w:rFonts w:ascii="Bookman Old Style" w:hAnsi="Bookman Old Style" w:cs="Bookman Old Style"/>
        </w:rPr>
        <w:t>The cases requiring the intervention by the Head of Circle alone should be forwarded to Circle office with requisite documents in duplicate and comments of the local authorities concerned on the represented issue.</w:t>
      </w:r>
    </w:p>
    <w:p w:rsidR="00147950" w:rsidRDefault="00147950" w:rsidP="00544CE1">
      <w:pPr>
        <w:pStyle w:val="ListParagraph"/>
        <w:numPr>
          <w:ilvl w:val="0"/>
          <w:numId w:val="1"/>
        </w:numPr>
        <w:spacing w:after="0"/>
        <w:jc w:val="both"/>
        <w:rPr>
          <w:rFonts w:ascii="Bookman Old Style" w:hAnsi="Bookman Old Style" w:cs="Bookman Old Style"/>
        </w:rPr>
      </w:pPr>
      <w:r>
        <w:rPr>
          <w:rFonts w:ascii="Bookman Old Style" w:hAnsi="Bookman Old Style" w:cs="Bookman Old Style"/>
        </w:rPr>
        <w:t xml:space="preserve">The forwarding letters should be specifically addressed to the ‘The Staff Grievance Officer’  ‘Staff Grievance Cell’, Circle office. </w:t>
      </w:r>
    </w:p>
    <w:p w:rsidR="00147950" w:rsidRDefault="00147950" w:rsidP="00544CE1">
      <w:pPr>
        <w:pStyle w:val="ListParagraph"/>
        <w:numPr>
          <w:ilvl w:val="0"/>
          <w:numId w:val="1"/>
        </w:numPr>
        <w:spacing w:after="0"/>
        <w:jc w:val="both"/>
        <w:rPr>
          <w:rFonts w:ascii="Bookman Old Style" w:hAnsi="Bookman Old Style" w:cs="Bookman Old Style"/>
        </w:rPr>
      </w:pPr>
      <w:r>
        <w:rPr>
          <w:rFonts w:ascii="Bookman Old Style" w:hAnsi="Bookman Old Style" w:cs="Bookman Old Style"/>
        </w:rPr>
        <w:t>The issues / cases related to the pending vig./ dis proceedings and the cases in which the aggrieved employees have already approached the court will not come under the purview of the Staff Grievance.</w:t>
      </w:r>
    </w:p>
    <w:p w:rsidR="00147950" w:rsidRDefault="00147950" w:rsidP="00544CE1">
      <w:pPr>
        <w:pStyle w:val="ListParagraph"/>
        <w:numPr>
          <w:ilvl w:val="0"/>
          <w:numId w:val="1"/>
        </w:numPr>
        <w:spacing w:after="0"/>
        <w:jc w:val="both"/>
        <w:rPr>
          <w:rFonts w:ascii="Bookman Old Style" w:hAnsi="Bookman Old Style" w:cs="Bookman Old Style"/>
        </w:rPr>
      </w:pPr>
      <w:r>
        <w:rPr>
          <w:rFonts w:ascii="Bookman Old Style" w:hAnsi="Bookman Old Style" w:cs="Bookman Old Style"/>
        </w:rPr>
        <w:t xml:space="preserve">The detail in respect of the Staff Grievance officer at SSA level should be circulated to all concerned and  should be updated as &amp; when changes occurs.   </w:t>
      </w:r>
    </w:p>
    <w:p w:rsidR="00147950" w:rsidRDefault="00147950" w:rsidP="00544CE1">
      <w:pPr>
        <w:spacing w:after="0"/>
        <w:jc w:val="both"/>
        <w:rPr>
          <w:rFonts w:ascii="Bookman Old Style" w:hAnsi="Bookman Old Style" w:cs="Bookman Old Style"/>
        </w:rPr>
      </w:pPr>
      <w:r>
        <w:rPr>
          <w:rFonts w:ascii="Bookman Old Style" w:hAnsi="Bookman Old Style" w:cs="Bookman Old Style"/>
        </w:rPr>
        <w:t xml:space="preserve">                         </w:t>
      </w:r>
    </w:p>
    <w:p w:rsidR="00147950" w:rsidRDefault="00147950" w:rsidP="00544CE1">
      <w:pPr>
        <w:spacing w:after="0"/>
        <w:jc w:val="both"/>
        <w:rPr>
          <w:rFonts w:ascii="Bookman Old Style" w:hAnsi="Bookman Old Style" w:cs="Bookman Old Style"/>
        </w:rPr>
      </w:pPr>
      <w:r>
        <w:rPr>
          <w:rFonts w:ascii="Bookman Old Style" w:hAnsi="Bookman Old Style" w:cs="Bookman Old Style"/>
        </w:rPr>
        <w:t xml:space="preserve">               Further, it is requested to all concerned officers to give priority to Staff Grievance cases wherever referred to them for their comments/ reports to enable the SGOs to dispose the SG cases within the stipulated to time limit.                          </w:t>
      </w:r>
    </w:p>
    <w:p w:rsidR="00147950" w:rsidRDefault="00147950" w:rsidP="00544CE1">
      <w:pPr>
        <w:spacing w:after="0"/>
        <w:jc w:val="both"/>
        <w:rPr>
          <w:rFonts w:ascii="Bookman Old Style" w:hAnsi="Bookman Old Style" w:cs="Bookman Old Style"/>
        </w:rPr>
      </w:pPr>
    </w:p>
    <w:p w:rsidR="00147950" w:rsidRDefault="00147950" w:rsidP="00544CE1">
      <w:pPr>
        <w:spacing w:after="0"/>
        <w:jc w:val="center"/>
        <w:rPr>
          <w:rFonts w:ascii="Bookman Old Style" w:hAnsi="Bookman Old Style" w:cs="Bookman Old Style"/>
        </w:rPr>
      </w:pPr>
      <w:r>
        <w:rPr>
          <w:rFonts w:ascii="Bookman Old Style" w:hAnsi="Bookman Old Style" w:cs="Bookman Old Style"/>
        </w:rPr>
        <w:t>This may kindly be brought to the notice of all concerned.</w:t>
      </w:r>
    </w:p>
    <w:p w:rsidR="00147950" w:rsidRDefault="00147950" w:rsidP="00544CE1">
      <w:pPr>
        <w:tabs>
          <w:tab w:val="left" w:pos="8164"/>
        </w:tabs>
        <w:spacing w:after="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r>
    </w:p>
    <w:p w:rsidR="00147950" w:rsidRDefault="00147950" w:rsidP="00544CE1">
      <w:pPr>
        <w:tabs>
          <w:tab w:val="left" w:pos="8164"/>
        </w:tabs>
        <w:spacing w:after="0" w:line="240" w:lineRule="auto"/>
        <w:jc w:val="both"/>
        <w:rPr>
          <w:rFonts w:ascii="Bookman Old Style" w:hAnsi="Bookman Old Style" w:cs="Bookman Old Style"/>
        </w:rPr>
      </w:pPr>
    </w:p>
    <w:p w:rsidR="00147950" w:rsidRDefault="00147950" w:rsidP="00544CE1">
      <w:pPr>
        <w:spacing w:after="0" w:line="240" w:lineRule="auto"/>
        <w:jc w:val="right"/>
        <w:rPr>
          <w:rFonts w:ascii="Bookman Old Style" w:hAnsi="Bookman Old Style" w:cs="Bookman Old Style"/>
        </w:rPr>
      </w:pPr>
      <w:r>
        <w:rPr>
          <w:rFonts w:ascii="Bookman Old Style" w:hAnsi="Bookman Old Style" w:cs="Bookman Old Style"/>
        </w:rPr>
        <w:t>Sd………………..</w:t>
      </w:r>
    </w:p>
    <w:p w:rsidR="00147950" w:rsidRDefault="00147950" w:rsidP="00544CE1">
      <w:pPr>
        <w:tabs>
          <w:tab w:val="left" w:pos="6923"/>
          <w:tab w:val="right" w:pos="9090"/>
        </w:tabs>
        <w:spacing w:after="0"/>
        <w:rPr>
          <w:rFonts w:ascii="Bookman Old Style" w:hAnsi="Bookman Old Style" w:cs="Bookman Old Style"/>
          <w:b/>
          <w:bCs/>
        </w:rPr>
      </w:pPr>
      <w:r>
        <w:rPr>
          <w:rFonts w:ascii="Bookman Old Style" w:hAnsi="Bookman Old Style" w:cs="Bookman Old Style"/>
          <w:b/>
          <w:bCs/>
        </w:rPr>
        <w:tab/>
      </w:r>
      <w:r>
        <w:rPr>
          <w:rFonts w:ascii="Bookman Old Style" w:hAnsi="Bookman Old Style" w:cs="Bookman Old Style"/>
          <w:b/>
          <w:bCs/>
        </w:rPr>
        <w:tab/>
        <w:t xml:space="preserve">(M.SHANMUGAM)                            </w:t>
      </w:r>
    </w:p>
    <w:p w:rsidR="00147950" w:rsidRDefault="00147950" w:rsidP="00544CE1">
      <w:pPr>
        <w:spacing w:after="0"/>
        <w:jc w:val="right"/>
        <w:rPr>
          <w:rFonts w:ascii="Bookman Old Style" w:hAnsi="Bookman Old Style" w:cs="Bookman Old Style"/>
          <w:b/>
          <w:bCs/>
        </w:rPr>
      </w:pPr>
      <w:r>
        <w:rPr>
          <w:rFonts w:ascii="Bookman Old Style" w:hAnsi="Bookman Old Style" w:cs="Bookman Old Style"/>
          <w:b/>
          <w:bCs/>
        </w:rPr>
        <w:t>Dy. General Manager,(HR &amp; Admn),</w:t>
      </w:r>
    </w:p>
    <w:p w:rsidR="00147950" w:rsidRDefault="00147950" w:rsidP="00544CE1">
      <w:pPr>
        <w:spacing w:after="0"/>
        <w:jc w:val="right"/>
        <w:rPr>
          <w:rFonts w:ascii="Bookman Old Style" w:hAnsi="Bookman Old Style" w:cs="Bookman Old Style"/>
          <w:b/>
          <w:bCs/>
        </w:rPr>
      </w:pPr>
      <w:r>
        <w:rPr>
          <w:rFonts w:ascii="Bookman Old Style" w:hAnsi="Bookman Old Style" w:cs="Bookman Old Style"/>
          <w:b/>
          <w:bCs/>
        </w:rPr>
        <w:t>for CGM BSNL TNT Circle,</w:t>
      </w:r>
    </w:p>
    <w:p w:rsidR="00147950" w:rsidRDefault="00147950" w:rsidP="00544CE1">
      <w:pPr>
        <w:spacing w:after="0"/>
        <w:jc w:val="right"/>
        <w:rPr>
          <w:rFonts w:ascii="Bookman Old Style" w:hAnsi="Bookman Old Style" w:cs="Bookman Old Style"/>
          <w:b/>
          <w:bCs/>
        </w:rPr>
      </w:pPr>
      <w:r>
        <w:rPr>
          <w:rFonts w:ascii="Bookman Old Style" w:hAnsi="Bookman Old Style" w:cs="Bookman Old Style"/>
          <w:b/>
          <w:bCs/>
        </w:rPr>
        <w:t>Chennai 600 002.</w:t>
      </w:r>
    </w:p>
    <w:p w:rsidR="00147950" w:rsidRDefault="00147950"/>
    <w:sectPr w:rsidR="00147950" w:rsidSect="00263D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83781"/>
    <w:multiLevelType w:val="hybridMultilevel"/>
    <w:tmpl w:val="0B2879D0"/>
    <w:lvl w:ilvl="0" w:tplc="98962350">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CE1"/>
    <w:rsid w:val="00061734"/>
    <w:rsid w:val="000D52E8"/>
    <w:rsid w:val="00147950"/>
    <w:rsid w:val="00263DD3"/>
    <w:rsid w:val="00544CE1"/>
    <w:rsid w:val="005964D3"/>
    <w:rsid w:val="008C6B08"/>
    <w:rsid w:val="00B077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DD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44CE1"/>
    <w:rPr>
      <w:rFonts w:cs="Calibri"/>
    </w:rPr>
  </w:style>
  <w:style w:type="paragraph" w:styleId="ListParagraph">
    <w:name w:val="List Paragraph"/>
    <w:basedOn w:val="Normal"/>
    <w:uiPriority w:val="99"/>
    <w:qFormat/>
    <w:rsid w:val="00544CE1"/>
    <w:pPr>
      <w:ind w:left="720"/>
    </w:pPr>
  </w:style>
  <w:style w:type="paragraph" w:styleId="BalloonText">
    <w:name w:val="Balloon Text"/>
    <w:basedOn w:val="Normal"/>
    <w:link w:val="BalloonTextChar"/>
    <w:uiPriority w:val="99"/>
    <w:semiHidden/>
    <w:rsid w:val="00544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4C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8921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523</Words>
  <Characters>2982</Characters>
  <Application>Microsoft Office Outlook</Application>
  <DocSecurity>0</DocSecurity>
  <Lines>0</Lines>
  <Paragraphs>0</Paragraphs>
  <ScaleCrop>false</ScaleCrop>
  <Company>BSNL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GRIEVANCE CELL</dc:title>
  <dc:subject/>
  <dc:creator>rgh</dc:creator>
  <cp:keywords/>
  <dc:description/>
  <cp:lastModifiedBy>sdecomputer</cp:lastModifiedBy>
  <cp:revision>2</cp:revision>
  <dcterms:created xsi:type="dcterms:W3CDTF">2012-07-20T15:53:00Z</dcterms:created>
  <dcterms:modified xsi:type="dcterms:W3CDTF">2012-07-20T15:53:00Z</dcterms:modified>
</cp:coreProperties>
</file>